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54584.xml.htm"/>
      <w:bookmarkStart w:id="1" w:name="kswkform4_17787545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Aaron Thomas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AIRSCULPT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LINCOLN ROAD, SUITE 802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Airsculpt Technologies, Inc.</w:t>
              </w:r>
            </w:hyperlink>
            <w:r>
              <w:rPr/>
              <w:t xml:space="preserve"> [ </w:t>
            </w:r>
            <w:r>
              <w:rPr>
                <w:rFonts w:ascii="Times;serif" w:hAnsi="Times;serif"/>
                <w:color w:val="0000FF"/>
                <w:sz w:val="24"/>
                <w:shd w:fill="FFFFFF" w:val="clear"/>
              </w:rPr>
              <w:t>AIRS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100,286</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276,866</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an award of 100,286 Restricted Stock Units on May 12, 2026 which will vest upon the earlier of (i) the first anniversary of the date of grant or (ii) the day prior to the next annual meeting of stockholders of AirSculpt Technologies, Inc. (the "Company"), subject to the Reporting Person's continued service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/s/Brent R. Wadman, Attorney-in-Fact for Thomas Aaron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224" TargetMode="External"/><Relationship Id="rId5" Type="http://schemas.openxmlformats.org/officeDocument/2006/relationships/hyperlink" Target="http://www.sec.gov/cgi-bin/browse-edgar?action=getcompany&amp;CIK=00018709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3398</Characters>
  <CharactersWithSpaces>3966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